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4D8E9" w14:textId="20A0032F" w:rsidR="00EB3248" w:rsidRPr="00733098" w:rsidRDefault="00EB3248" w:rsidP="00EB32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#9</w:t>
      </w:r>
      <w:r w:rsidR="00C044D1">
        <w:rPr>
          <w:rFonts w:ascii="Arial" w:eastAsia="맑은 고딕" w:hAnsi="Arial" w:cs="Arial"/>
          <w:b/>
          <w:bCs/>
          <w:sz w:val="24"/>
          <w:szCs w:val="24"/>
          <w:lang w:eastAsia="ko-KR"/>
        </w:rPr>
        <w:t>7</w:t>
      </w:r>
      <w:r w:rsidRPr="00733098">
        <w:rPr>
          <w:rFonts w:ascii="Arial" w:hAnsi="Arial" w:cs="Arial"/>
          <w:b/>
          <w:bCs/>
          <w:sz w:val="24"/>
          <w:szCs w:val="24"/>
          <w:lang w:eastAsia="ja-JP"/>
        </w:rPr>
        <w:tab/>
      </w:r>
      <w:r w:rsidRPr="00733098">
        <w:rPr>
          <w:rFonts w:ascii="Arial" w:hAnsi="Arial" w:cs="Arial"/>
          <w:b/>
          <w:bCs/>
          <w:sz w:val="24"/>
          <w:szCs w:val="24"/>
          <w:lang w:eastAsia="ja-JP"/>
        </w:rPr>
        <w:tab/>
      </w:r>
      <w:r w:rsidRPr="00733098">
        <w:rPr>
          <w:rFonts w:ascii="Arial" w:hAnsi="Arial" w:cs="Arial"/>
          <w:b/>
          <w:bCs/>
          <w:sz w:val="24"/>
          <w:szCs w:val="24"/>
          <w:lang w:eastAsia="ja-JP"/>
        </w:rPr>
        <w:tab/>
      </w:r>
      <w:r w:rsidRPr="00AD55AB">
        <w:rPr>
          <w:rFonts w:ascii="Arial" w:eastAsia="맑은 고딕" w:hAnsi="Arial" w:cs="Arial"/>
          <w:b/>
          <w:bCs/>
          <w:sz w:val="24"/>
          <w:szCs w:val="24"/>
          <w:lang w:eastAsia="ko-KR"/>
        </w:rPr>
        <w:t>R1-190</w:t>
      </w:r>
      <w:r w:rsidR="00C044D1">
        <w:rPr>
          <w:rFonts w:ascii="Arial" w:eastAsia="맑은 고딕" w:hAnsi="Arial" w:cs="Arial"/>
          <w:b/>
          <w:bCs/>
          <w:sz w:val="24"/>
          <w:szCs w:val="24"/>
          <w:lang w:eastAsia="ko-KR"/>
        </w:rPr>
        <w:t>6688</w:t>
      </w:r>
    </w:p>
    <w:p w14:paraId="70F25F8C" w14:textId="005A185F" w:rsidR="00EB3248" w:rsidRPr="00191261" w:rsidRDefault="00C044D1" w:rsidP="00EB3248">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A95661">
        <w:rPr>
          <w:rFonts w:ascii="Arial" w:hAnsi="Arial" w:cs="Arial"/>
          <w:b/>
          <w:bCs/>
          <w:sz w:val="24"/>
          <w:lang w:eastAsia="ja-JP"/>
        </w:rPr>
        <w:t>Reno, USA, May 13</w:t>
      </w:r>
      <w:r w:rsidRPr="00A95661">
        <w:rPr>
          <w:rFonts w:ascii="Arial" w:hAnsi="Arial" w:cs="Arial"/>
          <w:b/>
          <w:bCs/>
          <w:sz w:val="24"/>
          <w:vertAlign w:val="superscript"/>
          <w:lang w:eastAsia="ja-JP"/>
        </w:rPr>
        <w:t>th</w:t>
      </w:r>
      <w:r w:rsidRPr="00A95661">
        <w:rPr>
          <w:rFonts w:ascii="Arial" w:hAnsi="Arial" w:cs="Arial"/>
          <w:b/>
          <w:bCs/>
          <w:sz w:val="24"/>
          <w:lang w:eastAsia="ja-JP"/>
        </w:rPr>
        <w:t xml:space="preserve"> – 17</w:t>
      </w:r>
      <w:r w:rsidRPr="00A95661">
        <w:rPr>
          <w:rFonts w:ascii="Arial" w:hAnsi="Arial" w:cs="Arial"/>
          <w:b/>
          <w:bCs/>
          <w:sz w:val="24"/>
          <w:vertAlign w:val="superscript"/>
          <w:lang w:eastAsia="ja-JP"/>
        </w:rPr>
        <w:t>th</w:t>
      </w:r>
      <w:r w:rsidRPr="00A95661">
        <w:rPr>
          <w:rFonts w:ascii="Arial" w:hAnsi="Arial" w:cs="Arial"/>
          <w:b/>
          <w:bCs/>
          <w:sz w:val="24"/>
          <w:lang w:eastAsia="ja-JP"/>
        </w:rPr>
        <w:t>, 2019</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bookmarkStart w:id="3" w:name="_GoBack"/>
      <w:bookmarkEnd w:id="3"/>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21FC5C0" w14:textId="1F8D2993" w:rsidR="000322B4" w:rsidRDefault="000322B4"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And in RAN1</w:t>
      </w:r>
      <w:r>
        <w:rPr>
          <w:rFonts w:eastAsia="맑은 고딕"/>
          <w:kern w:val="2"/>
          <w:sz w:val="22"/>
          <w:szCs w:val="22"/>
          <w:lang w:val="en-US" w:eastAsia="ko-KR"/>
        </w:rPr>
        <w:t>#</w:t>
      </w:r>
      <w:r w:rsidR="00F213E1">
        <w:rPr>
          <w:rFonts w:eastAsia="맑은 고딕"/>
          <w:kern w:val="2"/>
          <w:sz w:val="22"/>
          <w:szCs w:val="22"/>
          <w:lang w:val="en-US" w:eastAsia="ko-KR"/>
        </w:rPr>
        <w:t>96</w:t>
      </w:r>
      <w:r w:rsidR="00C044D1">
        <w:rPr>
          <w:rFonts w:eastAsia="맑은 고딕"/>
          <w:kern w:val="2"/>
          <w:sz w:val="22"/>
          <w:szCs w:val="22"/>
          <w:lang w:val="en-US" w:eastAsia="ko-KR"/>
        </w:rPr>
        <w:t>bis</w:t>
      </w:r>
      <w:r w:rsidR="00F213E1">
        <w:rPr>
          <w:rFonts w:eastAsia="맑은 고딕"/>
          <w:kern w:val="2"/>
          <w:sz w:val="22"/>
          <w:szCs w:val="22"/>
          <w:lang w:val="en-US" w:eastAsia="ko-KR"/>
        </w:rPr>
        <w:t xml:space="preserve"> </w:t>
      </w:r>
      <w:r>
        <w:rPr>
          <w:rFonts w:eastAsia="맑은 고딕"/>
          <w:kern w:val="2"/>
          <w:sz w:val="22"/>
          <w:szCs w:val="22"/>
          <w:lang w:val="en-US" w:eastAsia="ko-KR"/>
        </w:rPr>
        <w:t>meeting, the following agreements were made regarding the use of LTE control region for DL transmission</w:t>
      </w:r>
      <w:r w:rsidR="00A61FFB">
        <w:rPr>
          <w:rFonts w:eastAsia="맑은 고딕"/>
          <w:kern w:val="2"/>
          <w:sz w:val="22"/>
          <w:szCs w:val="22"/>
          <w:lang w:val="en-US" w:eastAsia="ko-KR"/>
        </w:rPr>
        <w:t xml:space="preserve"> [2]</w:t>
      </w:r>
      <w:r>
        <w:rPr>
          <w:rFonts w:eastAsia="맑은 고딕"/>
          <w:kern w:val="2"/>
          <w:sz w:val="22"/>
          <w:szCs w:val="22"/>
          <w:lang w:val="en-US" w:eastAsia="ko-KR"/>
        </w:rPr>
        <w:t>.</w:t>
      </w:r>
    </w:p>
    <w:p w14:paraId="29B1751E" w14:textId="77777777" w:rsidR="00C044D1" w:rsidRPr="008A2A4F" w:rsidRDefault="00C044D1" w:rsidP="00C044D1">
      <w:pPr>
        <w:spacing w:after="0" w:line="240" w:lineRule="auto"/>
        <w:ind w:left="0" w:firstLine="0"/>
        <w:jc w:val="left"/>
        <w:rPr>
          <w:rFonts w:eastAsia="바탕"/>
          <w:b/>
          <w:szCs w:val="24"/>
          <w:highlight w:val="green"/>
          <w:lang w:eastAsia="x-none"/>
        </w:rPr>
      </w:pPr>
      <w:r w:rsidRPr="008A2A4F">
        <w:rPr>
          <w:rFonts w:eastAsia="바탕"/>
          <w:b/>
          <w:szCs w:val="24"/>
          <w:highlight w:val="green"/>
          <w:lang w:eastAsia="x-none"/>
        </w:rPr>
        <w:t>Agreement</w:t>
      </w:r>
    </w:p>
    <w:p w14:paraId="17E6BDA4" w14:textId="77777777" w:rsidR="00C044D1" w:rsidRPr="008A2A4F" w:rsidRDefault="00C044D1" w:rsidP="00C044D1">
      <w:pPr>
        <w:spacing w:after="0" w:line="240" w:lineRule="auto"/>
        <w:ind w:left="0" w:firstLine="0"/>
        <w:jc w:val="left"/>
        <w:rPr>
          <w:rFonts w:eastAsia="바탕"/>
          <w:szCs w:val="24"/>
          <w:lang w:eastAsia="x-none"/>
        </w:rPr>
      </w:pPr>
      <w:r w:rsidRPr="008A2A4F">
        <w:rPr>
          <w:rFonts w:eastAsia="바탕"/>
          <w:szCs w:val="24"/>
          <w:lang w:eastAsia="x-none"/>
        </w:rPr>
        <w:t>When performing rate-matching for PDSCH in the LTE control region, all resource elements shall be counted in the PDSCH mapping, except for the ones reserved for cell-specific reference signals on any antenna port.</w:t>
      </w:r>
    </w:p>
    <w:p w14:paraId="0A0609D5" w14:textId="77777777" w:rsidR="00C044D1" w:rsidRPr="008A2A4F" w:rsidRDefault="00C044D1" w:rsidP="00C044D1">
      <w:pPr>
        <w:numPr>
          <w:ilvl w:val="0"/>
          <w:numId w:val="40"/>
        </w:numPr>
        <w:spacing w:before="0" w:after="0" w:line="240" w:lineRule="auto"/>
        <w:jc w:val="left"/>
        <w:rPr>
          <w:rFonts w:eastAsia="바탕"/>
          <w:szCs w:val="24"/>
          <w:lang w:eastAsia="x-none"/>
        </w:rPr>
      </w:pPr>
      <w:r w:rsidRPr="008A2A4F">
        <w:rPr>
          <w:rFonts w:eastAsia="바탕"/>
          <w:szCs w:val="24"/>
          <w:lang w:eastAsia="x-none"/>
        </w:rPr>
        <w:t>Same as legacy operation</w:t>
      </w:r>
    </w:p>
    <w:p w14:paraId="5CE3BC35" w14:textId="77777777"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27B82855" w14:textId="3ADE04B3" w:rsidR="00862B5D" w:rsidRPr="00010851" w:rsidRDefault="00862B5D" w:rsidP="00010851">
      <w:pPr>
        <w:spacing w:before="120" w:after="240" w:line="240" w:lineRule="auto"/>
        <w:ind w:left="0" w:firstLine="0"/>
        <w:rPr>
          <w:rFonts w:eastAsiaTheme="minorEastAsia"/>
          <w:lang w:eastAsia="ko-KR"/>
        </w:rPr>
      </w:pPr>
      <w:r>
        <w:rPr>
          <w:rFonts w:eastAsia="맑은 고딕"/>
          <w:kern w:val="2"/>
          <w:sz w:val="22"/>
          <w:szCs w:val="22"/>
          <w:lang w:eastAsia="ko-KR"/>
        </w:rPr>
        <w:t xml:space="preserve">In this contribution, we discuss </w:t>
      </w:r>
      <w:r w:rsidR="000B59D7">
        <w:rPr>
          <w:rFonts w:eastAsia="맑은 고딕"/>
          <w:kern w:val="2"/>
          <w:sz w:val="22"/>
          <w:szCs w:val="22"/>
          <w:lang w:eastAsia="ko-KR"/>
        </w:rPr>
        <w:t>details and open issues of MPDCCH/PDSCH RE mapping.</w:t>
      </w:r>
    </w:p>
    <w:p w14:paraId="5EEFFEA6" w14:textId="3A33C887" w:rsidR="00110C2A" w:rsidRDefault="00E33229" w:rsidP="00B64105">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RE mapping </w:t>
      </w:r>
      <w:r w:rsidR="00086DD2">
        <w:rPr>
          <w:rFonts w:eastAsia="맑은 고딕"/>
          <w:b/>
          <w:kern w:val="2"/>
          <w:sz w:val="24"/>
          <w:szCs w:val="22"/>
          <w:lang w:val="en-US" w:eastAsia="ko-KR"/>
        </w:rPr>
        <w:t>for MPDCCH</w:t>
      </w:r>
    </w:p>
    <w:p w14:paraId="17B11B8B" w14:textId="59124986" w:rsidR="00300B27" w:rsidRDefault="00687C7B"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For MPDCCH RE mapping, it was agreed that </w:t>
      </w:r>
      <w:r w:rsidRPr="00687C7B">
        <w:rPr>
          <w:rFonts w:eastAsia="맑은 고딕"/>
          <w:kern w:val="2"/>
          <w:sz w:val="22"/>
          <w:szCs w:val="22"/>
          <w:lang w:val="en-US" w:eastAsia="ko-KR"/>
        </w:rPr>
        <w:t xml:space="preserve">part of the MPDCCH are mapped into the LTE DL control </w:t>
      </w:r>
      <w:r w:rsidRPr="00300B27">
        <w:rPr>
          <w:rFonts w:eastAsia="맑은 고딕"/>
          <w:kern w:val="2"/>
          <w:sz w:val="22"/>
          <w:szCs w:val="22"/>
          <w:lang w:val="en-US" w:eastAsia="ko-KR"/>
        </w:rPr>
        <w:t xml:space="preserve">region. </w:t>
      </w:r>
      <w:r w:rsidR="00C044D1" w:rsidRPr="00300B27">
        <w:rPr>
          <w:rFonts w:eastAsia="맑은 고딕"/>
          <w:kern w:val="2"/>
          <w:sz w:val="22"/>
          <w:szCs w:val="22"/>
          <w:lang w:val="en-US" w:eastAsia="ko-KR"/>
        </w:rPr>
        <w:t xml:space="preserve">The </w:t>
      </w:r>
      <w:r w:rsidR="00300B27">
        <w:rPr>
          <w:rFonts w:eastAsia="맑은 고딕"/>
          <w:kern w:val="2"/>
          <w:sz w:val="22"/>
          <w:szCs w:val="22"/>
          <w:lang w:val="en-US" w:eastAsia="ko-KR"/>
        </w:rPr>
        <w:t xml:space="preserve">following </w:t>
      </w:r>
      <w:r w:rsidR="00C044D1" w:rsidRPr="00300B27">
        <w:rPr>
          <w:rFonts w:eastAsia="맑은 고딕"/>
          <w:kern w:val="2"/>
          <w:sz w:val="22"/>
          <w:szCs w:val="22"/>
          <w:lang w:val="en-US" w:eastAsia="ko-KR"/>
        </w:rPr>
        <w:t xml:space="preserve">working assumption was made in RAN1 #96bis meeting defining </w:t>
      </w:r>
      <w:r w:rsidR="00300B27">
        <w:rPr>
          <w:rFonts w:eastAsia="맑은 고딕"/>
          <w:kern w:val="2"/>
          <w:sz w:val="22"/>
          <w:szCs w:val="22"/>
          <w:lang w:val="en-US" w:eastAsia="ko-KR"/>
        </w:rPr>
        <w:t xml:space="preserve">the OFDM symbols from which MPDCCH </w:t>
      </w:r>
      <w:r w:rsidR="00C044D1" w:rsidRPr="00300B27">
        <w:rPr>
          <w:rFonts w:eastAsia="맑은 고딕"/>
          <w:kern w:val="2"/>
          <w:sz w:val="22"/>
          <w:szCs w:val="22"/>
          <w:lang w:val="en-US" w:eastAsia="ko-KR"/>
        </w:rPr>
        <w:t xml:space="preserve">REs </w:t>
      </w:r>
      <w:r w:rsidR="00300B27">
        <w:rPr>
          <w:rFonts w:eastAsia="맑은 고딕"/>
          <w:kern w:val="2"/>
          <w:sz w:val="22"/>
          <w:szCs w:val="22"/>
          <w:lang w:val="en-US" w:eastAsia="ko-KR"/>
        </w:rPr>
        <w:t>are copied into the LTE control region.</w:t>
      </w:r>
    </w:p>
    <w:tbl>
      <w:tblPr>
        <w:tblStyle w:val="a6"/>
        <w:tblW w:w="0" w:type="auto"/>
        <w:tblLook w:val="04A0" w:firstRow="1" w:lastRow="0" w:firstColumn="1" w:lastColumn="0" w:noHBand="0" w:noVBand="1"/>
      </w:tblPr>
      <w:tblGrid>
        <w:gridCol w:w="9628"/>
      </w:tblGrid>
      <w:tr w:rsidR="00300B27" w14:paraId="5678403D" w14:textId="77777777" w:rsidTr="00300B27">
        <w:tc>
          <w:tcPr>
            <w:tcW w:w="9628" w:type="dxa"/>
          </w:tcPr>
          <w:p w14:paraId="36200E1C" w14:textId="77777777" w:rsidR="00300B27" w:rsidRPr="00300B27" w:rsidRDefault="00300B27" w:rsidP="00300B27">
            <w:pPr>
              <w:spacing w:after="0" w:line="240" w:lineRule="auto"/>
              <w:ind w:left="0" w:firstLine="0"/>
              <w:jc w:val="left"/>
              <w:rPr>
                <w:rFonts w:eastAsia="바탕"/>
                <w:b/>
                <w:sz w:val="22"/>
                <w:szCs w:val="22"/>
                <w:highlight w:val="darkYellow"/>
                <w:lang w:eastAsia="x-none"/>
              </w:rPr>
            </w:pPr>
            <w:r w:rsidRPr="00300B27">
              <w:rPr>
                <w:rFonts w:eastAsia="바탕"/>
                <w:b/>
                <w:sz w:val="22"/>
                <w:szCs w:val="22"/>
                <w:highlight w:val="darkYellow"/>
                <w:lang w:eastAsia="x-none"/>
              </w:rPr>
              <w:t>Working Assumption</w:t>
            </w:r>
          </w:p>
          <w:p w14:paraId="3BCD851B" w14:textId="36A198C1" w:rsidR="00300B27" w:rsidRPr="00300B27" w:rsidRDefault="00300B27" w:rsidP="00300B27">
            <w:pPr>
              <w:spacing w:after="0" w:line="240" w:lineRule="auto"/>
              <w:ind w:left="0" w:firstLine="0"/>
              <w:rPr>
                <w:rFonts w:hint="eastAsia"/>
                <w:sz w:val="22"/>
                <w:szCs w:val="22"/>
                <w:lang w:eastAsia="ja-JP"/>
              </w:rPr>
            </w:pPr>
            <w:r w:rsidRPr="00300B27">
              <w:rPr>
                <w:rFonts w:eastAsia="바탕"/>
                <w:bCs/>
                <w:noProof/>
                <w:sz w:val="22"/>
                <w:szCs w:val="22"/>
                <w:lang w:eastAsia="en-GB"/>
              </w:rPr>
              <w:t>For MPDCCH mapping, a</w:t>
            </w:r>
            <w:r w:rsidRPr="00300B27">
              <w:rPr>
                <w:rFonts w:eastAsia="바탕"/>
                <w:sz w:val="22"/>
                <w:szCs w:val="22"/>
              </w:rPr>
              <w:t xml:space="preserve"> fixed mapping in time is used. The resource elements used for MPDCCH in the first </w:t>
            </w:r>
            <w:r w:rsidRPr="00300B27">
              <w:rPr>
                <w:rFonts w:eastAsia="바탕"/>
                <w:i/>
                <w:sz w:val="22"/>
                <w:szCs w:val="22"/>
              </w:rPr>
              <w:t>l</w:t>
            </w:r>
            <w:r w:rsidRPr="00300B27">
              <w:rPr>
                <w:rFonts w:eastAsia="바탕"/>
                <w:i/>
                <w:sz w:val="22"/>
                <w:szCs w:val="22"/>
                <w:vertAlign w:val="subscript"/>
              </w:rPr>
              <w:t>MPDCCHStart</w:t>
            </w:r>
            <w:r w:rsidRPr="00300B27">
              <w:rPr>
                <w:rFonts w:eastAsia="바탕"/>
                <w:sz w:val="22"/>
                <w:szCs w:val="22"/>
              </w:rPr>
              <w:t xml:space="preserve"> </w:t>
            </w:r>
            <w:r w:rsidRPr="00300B27">
              <w:rPr>
                <w:rFonts w:eastAsia="Times New Roman"/>
                <w:sz w:val="22"/>
                <w:szCs w:val="22"/>
              </w:rPr>
              <w:fldChar w:fldCharType="begin"/>
            </w:r>
            <w:r w:rsidRPr="00300B27">
              <w:rPr>
                <w:rFonts w:eastAsia="Times New Roman"/>
                <w:sz w:val="22"/>
                <w:szCs w:val="22"/>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l</m:t>
                  </m:r>
                </m:e>
                <m:sub>
                  <m:r>
                    <m:rPr>
                      <m:sty m:val="p"/>
                    </m:rPr>
                    <w:rPr>
                      <w:rFonts w:ascii="Cambria Math" w:hAnsi="Cambria Math"/>
                      <w:sz w:val="22"/>
                      <w:szCs w:val="22"/>
                    </w:rPr>
                    <m:t>MPDCCHStart</m:t>
                  </m:r>
                </m:sub>
              </m:sSub>
            </m:oMath>
            <w:r w:rsidRPr="00300B27">
              <w:rPr>
                <w:rFonts w:eastAsia="Times New Roman"/>
                <w:sz w:val="22"/>
                <w:szCs w:val="22"/>
              </w:rPr>
              <w:instrText xml:space="preserve"> </w:instrText>
            </w:r>
            <w:r w:rsidRPr="00300B27">
              <w:rPr>
                <w:rFonts w:eastAsia="Times New Roman"/>
                <w:sz w:val="22"/>
                <w:szCs w:val="22"/>
              </w:rPr>
              <w:fldChar w:fldCharType="end"/>
            </w:r>
            <w:r w:rsidRPr="00300B27">
              <w:rPr>
                <w:rFonts w:eastAsia="Times New Roman"/>
                <w:sz w:val="22"/>
                <w:szCs w:val="22"/>
              </w:rPr>
              <w:t>symbols in the second slot are copied into the first</w:t>
            </w:r>
            <w:r w:rsidRPr="00300B27">
              <w:rPr>
                <w:rFonts w:eastAsia="Times New Roman"/>
                <w:sz w:val="22"/>
                <w:szCs w:val="22"/>
              </w:rPr>
              <w:fldChar w:fldCharType="begin"/>
            </w:r>
            <w:r w:rsidRPr="00300B27">
              <w:rPr>
                <w:rFonts w:eastAsia="Times New Roman"/>
                <w:sz w:val="22"/>
                <w:szCs w:val="22"/>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l</m:t>
                  </m:r>
                </m:e>
                <m:sub>
                  <m:r>
                    <m:rPr>
                      <m:sty m:val="p"/>
                    </m:rPr>
                    <w:rPr>
                      <w:rFonts w:ascii="Cambria Math" w:hAnsi="Cambria Math"/>
                      <w:sz w:val="22"/>
                      <w:szCs w:val="22"/>
                    </w:rPr>
                    <m:t>MPDCCHStart</m:t>
                  </m:r>
                </m:sub>
              </m:sSub>
            </m:oMath>
            <w:r w:rsidRPr="00300B27">
              <w:rPr>
                <w:rFonts w:eastAsia="Times New Roman"/>
                <w:sz w:val="22"/>
                <w:szCs w:val="22"/>
              </w:rPr>
              <w:instrText xml:space="preserve"> </w:instrText>
            </w:r>
            <w:r w:rsidRPr="00300B27">
              <w:rPr>
                <w:rFonts w:eastAsia="Times New Roman"/>
                <w:sz w:val="22"/>
                <w:szCs w:val="22"/>
              </w:rPr>
              <w:fldChar w:fldCharType="end"/>
            </w:r>
            <w:r w:rsidRPr="00300B27">
              <w:rPr>
                <w:rFonts w:eastAsia="Times New Roman"/>
                <w:sz w:val="22"/>
                <w:szCs w:val="22"/>
              </w:rPr>
              <w:t xml:space="preserve"> </w:t>
            </w:r>
            <w:r w:rsidRPr="00300B27">
              <w:rPr>
                <w:rFonts w:eastAsia="바탕"/>
                <w:i/>
                <w:sz w:val="22"/>
                <w:szCs w:val="22"/>
              </w:rPr>
              <w:t>l</w:t>
            </w:r>
            <w:r w:rsidRPr="00300B27">
              <w:rPr>
                <w:rFonts w:eastAsia="바탕"/>
                <w:i/>
                <w:sz w:val="22"/>
                <w:szCs w:val="22"/>
                <w:vertAlign w:val="subscript"/>
              </w:rPr>
              <w:t>MPDCCHStart</w:t>
            </w:r>
            <w:r w:rsidRPr="00300B27">
              <w:rPr>
                <w:rFonts w:eastAsia="바탕"/>
                <w:sz w:val="22"/>
                <w:szCs w:val="22"/>
              </w:rPr>
              <w:t xml:space="preserve"> </w:t>
            </w:r>
            <w:r w:rsidRPr="00300B27">
              <w:rPr>
                <w:rFonts w:eastAsia="Times New Roman"/>
                <w:sz w:val="22"/>
                <w:szCs w:val="22"/>
              </w:rPr>
              <w:t>symbols in the first slot.</w:t>
            </w:r>
          </w:p>
        </w:tc>
      </w:tr>
    </w:tbl>
    <w:p w14:paraId="130B92D2" w14:textId="77777777" w:rsidR="00300B27" w:rsidRDefault="00300B27" w:rsidP="0001085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As we understand it, it</w:t>
      </w:r>
      <w:r>
        <w:rPr>
          <w:rFonts w:eastAsia="맑은 고딕" w:hint="eastAsia"/>
          <w:kern w:val="2"/>
          <w:sz w:val="22"/>
          <w:szCs w:val="22"/>
          <w:lang w:eastAsia="ko-KR"/>
        </w:rPr>
        <w:t xml:space="preserve"> was not agreed on site because it was not </w:t>
      </w:r>
      <w:r>
        <w:rPr>
          <w:rFonts w:eastAsia="맑은 고딕"/>
          <w:kern w:val="2"/>
          <w:sz w:val="22"/>
          <w:szCs w:val="22"/>
          <w:lang w:eastAsia="ko-KR"/>
        </w:rPr>
        <w:t xml:space="preserve">clear how it works especially in TDD special subframes. As we checked, for almost all special subframe configurations and for normal and extended CPs, </w:t>
      </w:r>
      <w:r>
        <w:rPr>
          <w:rFonts w:eastAsia="맑은 고딕"/>
          <w:kern w:val="2"/>
          <w:sz w:val="22"/>
          <w:szCs w:val="22"/>
          <w:lang w:eastAsia="ko-KR"/>
        </w:rPr>
        <w:lastRenderedPageBreak/>
        <w:t xml:space="preserve">the principle above works the same and therefore we propose to elevate the working assumption to the agreement. </w:t>
      </w:r>
    </w:p>
    <w:p w14:paraId="046DF71B" w14:textId="6066E69C" w:rsidR="00300B27" w:rsidRDefault="00300B27" w:rsidP="00300B27">
      <w:pPr>
        <w:spacing w:before="120" w:after="240"/>
        <w:ind w:left="220" w:firstLine="0"/>
        <w:rPr>
          <w:b/>
          <w:i/>
          <w:sz w:val="22"/>
        </w:rPr>
      </w:pPr>
      <w:r w:rsidRPr="00B84270">
        <w:rPr>
          <w:b/>
          <w:i/>
          <w:sz w:val="22"/>
        </w:rPr>
        <w:t xml:space="preserve">Proposal 1: </w:t>
      </w:r>
      <w:r>
        <w:rPr>
          <w:b/>
          <w:i/>
          <w:sz w:val="22"/>
        </w:rPr>
        <w:t xml:space="preserve">Confirm the following </w:t>
      </w:r>
      <w:r w:rsidRPr="00A95661">
        <w:rPr>
          <w:b/>
          <w:i/>
          <w:sz w:val="22"/>
          <w:highlight w:val="darkYellow"/>
        </w:rPr>
        <w:t>Working Assumption</w:t>
      </w:r>
    </w:p>
    <w:p w14:paraId="09AD8228" w14:textId="77777777" w:rsidR="00300B27" w:rsidRDefault="00300B27" w:rsidP="00300B27">
      <w:pPr>
        <w:spacing w:before="120" w:after="240"/>
        <w:ind w:left="220" w:firstLine="0"/>
        <w:rPr>
          <w:b/>
          <w:i/>
          <w:sz w:val="22"/>
        </w:rPr>
      </w:pPr>
      <w:r w:rsidRPr="00DB2327">
        <w:rPr>
          <w:b/>
          <w:i/>
          <w:sz w:val="22"/>
        </w:rPr>
        <w:t>For MPDCCH mapping, a fixed mapping in time is used. The resource elements used for MPDCCH in the first l</w:t>
      </w:r>
      <w:r w:rsidRPr="00A95661">
        <w:rPr>
          <w:b/>
          <w:i/>
          <w:sz w:val="22"/>
          <w:vertAlign w:val="subscript"/>
        </w:rPr>
        <w:t>MPDCCHStart</w:t>
      </w:r>
      <w:r w:rsidRPr="00DB2327">
        <w:rPr>
          <w:b/>
          <w:i/>
          <w:sz w:val="22"/>
        </w:rPr>
        <w:t xml:space="preserve"> symbols in the second slot are copied into the first l</w:t>
      </w:r>
      <w:r w:rsidRPr="00A95661">
        <w:rPr>
          <w:b/>
          <w:i/>
          <w:sz w:val="22"/>
          <w:vertAlign w:val="subscript"/>
        </w:rPr>
        <w:t>MPDCCHStart</w:t>
      </w:r>
      <w:r w:rsidRPr="00DB2327">
        <w:rPr>
          <w:b/>
          <w:i/>
          <w:sz w:val="22"/>
        </w:rPr>
        <w:t xml:space="preserve"> symbols in the first slot.</w:t>
      </w:r>
    </w:p>
    <w:p w14:paraId="59B05B8C" w14:textId="77777777" w:rsidR="009E28DA" w:rsidRDefault="009E28DA" w:rsidP="008F2A87">
      <w:pPr>
        <w:spacing w:before="120" w:after="240" w:line="240" w:lineRule="auto"/>
        <w:ind w:left="0" w:firstLine="0"/>
        <w:rPr>
          <w:rFonts w:eastAsia="맑은 고딕"/>
          <w:kern w:val="2"/>
          <w:sz w:val="22"/>
          <w:szCs w:val="22"/>
          <w:lang w:val="en-US" w:eastAsia="ko-KR"/>
        </w:rPr>
      </w:pPr>
    </w:p>
    <w:p w14:paraId="52ED1596" w14:textId="76833DFD" w:rsidR="003175FB" w:rsidRDefault="008F2A87" w:rsidP="008F2A87">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en-US" w:eastAsia="ko-KR"/>
        </w:rPr>
        <w:t xml:space="preserve">Now, we have to look into further details on MPDCCH RE mapping as some </w:t>
      </w:r>
      <w:r w:rsidR="00113C05">
        <w:rPr>
          <w:rFonts w:eastAsia="맑은 고딕"/>
          <w:kern w:val="2"/>
          <w:sz w:val="22"/>
          <w:szCs w:val="22"/>
          <w:lang w:val="en-US" w:eastAsia="ko-KR"/>
        </w:rPr>
        <w:t xml:space="preserve">of the MPDCCH </w:t>
      </w:r>
      <w:r w:rsidR="00E178F3">
        <w:rPr>
          <w:rFonts w:eastAsia="맑은 고딕"/>
          <w:kern w:val="2"/>
          <w:sz w:val="22"/>
          <w:szCs w:val="22"/>
          <w:lang w:val="x-none" w:eastAsia="ko-KR"/>
        </w:rPr>
        <w:t xml:space="preserve">REs </w:t>
      </w:r>
      <w:r w:rsidR="00113C05">
        <w:rPr>
          <w:rFonts w:eastAsia="맑은 고딕"/>
          <w:kern w:val="2"/>
          <w:sz w:val="22"/>
          <w:szCs w:val="22"/>
          <w:lang w:val="x-none" w:eastAsia="ko-KR"/>
        </w:rPr>
        <w:t>may</w:t>
      </w:r>
      <w:r>
        <w:rPr>
          <w:rFonts w:eastAsia="맑은 고딕"/>
          <w:kern w:val="2"/>
          <w:sz w:val="22"/>
          <w:szCs w:val="22"/>
          <w:lang w:val="x-none" w:eastAsia="ko-KR"/>
        </w:rPr>
        <w:t xml:space="preserve"> be </w:t>
      </w:r>
      <w:r w:rsidR="00E178F3">
        <w:rPr>
          <w:rFonts w:eastAsia="맑은 고딕"/>
          <w:kern w:val="2"/>
          <w:sz w:val="22"/>
          <w:szCs w:val="22"/>
          <w:lang w:val="x-none" w:eastAsia="ko-KR"/>
        </w:rPr>
        <w:t xml:space="preserve">punctured by </w:t>
      </w:r>
      <w:r w:rsidR="00113C05">
        <w:rPr>
          <w:rFonts w:eastAsia="맑은 고딕"/>
          <w:kern w:val="2"/>
          <w:sz w:val="22"/>
          <w:szCs w:val="22"/>
          <w:lang w:val="x-none" w:eastAsia="ko-KR"/>
        </w:rPr>
        <w:t xml:space="preserve">some </w:t>
      </w:r>
      <w:r w:rsidR="003175FB">
        <w:rPr>
          <w:rFonts w:eastAsia="맑은 고딕"/>
          <w:kern w:val="2"/>
          <w:sz w:val="22"/>
          <w:szCs w:val="22"/>
          <w:lang w:val="x-none" w:eastAsia="ko-KR"/>
        </w:rPr>
        <w:t>reference or sync signals</w:t>
      </w:r>
      <w:r>
        <w:rPr>
          <w:rFonts w:eastAsia="맑은 고딕"/>
          <w:kern w:val="2"/>
          <w:sz w:val="22"/>
          <w:szCs w:val="22"/>
          <w:lang w:val="x-none" w:eastAsia="ko-KR"/>
        </w:rPr>
        <w:t xml:space="preserve">. </w:t>
      </w:r>
      <w:r w:rsidR="00E55430">
        <w:rPr>
          <w:rFonts w:eastAsia="맑은 고딕"/>
          <w:kern w:val="2"/>
          <w:sz w:val="22"/>
          <w:szCs w:val="22"/>
          <w:lang w:val="x-none" w:eastAsia="ko-KR"/>
        </w:rPr>
        <w:t>Clearly</w:t>
      </w:r>
      <w:r w:rsidR="00F06FE4">
        <w:rPr>
          <w:rFonts w:eastAsia="맑은 고딕"/>
          <w:kern w:val="2"/>
          <w:sz w:val="22"/>
          <w:szCs w:val="22"/>
          <w:lang w:val="x-none" w:eastAsia="ko-KR"/>
        </w:rPr>
        <w:t>,</w:t>
      </w:r>
      <w:r w:rsidR="00E55430">
        <w:rPr>
          <w:rFonts w:eastAsia="맑은 고딕"/>
          <w:kern w:val="2"/>
          <w:sz w:val="22"/>
          <w:szCs w:val="22"/>
          <w:lang w:val="x-none" w:eastAsia="ko-KR"/>
        </w:rPr>
        <w:t xml:space="preserve"> MPDCCH DMRS REs are part of the MPDCCH REs and copied to LTE control region. By doing so MPDCCH DMRS REs can also be used for synchronization. </w:t>
      </w:r>
      <w:r w:rsidR="00F06FE4">
        <w:rPr>
          <w:rFonts w:eastAsia="맑은 고딕"/>
          <w:kern w:val="2"/>
          <w:sz w:val="22"/>
          <w:szCs w:val="22"/>
          <w:lang w:val="x-none" w:eastAsia="ko-KR"/>
        </w:rPr>
        <w:t xml:space="preserve">As for </w:t>
      </w:r>
      <w:r w:rsidR="00113C05">
        <w:rPr>
          <w:rFonts w:eastAsia="맑은 고딕"/>
          <w:kern w:val="2"/>
          <w:sz w:val="22"/>
          <w:szCs w:val="22"/>
          <w:lang w:val="x-none" w:eastAsia="ko-KR"/>
        </w:rPr>
        <w:t>CSI-RS</w:t>
      </w:r>
      <w:r w:rsidR="00F06FE4">
        <w:rPr>
          <w:rFonts w:eastAsia="맑은 고딕"/>
          <w:kern w:val="2"/>
          <w:sz w:val="22"/>
          <w:szCs w:val="22"/>
          <w:lang w:val="x-none" w:eastAsia="ko-KR"/>
        </w:rPr>
        <w:t xml:space="preserve"> REs</w:t>
      </w:r>
      <w:r w:rsidR="00113C05">
        <w:rPr>
          <w:rFonts w:eastAsia="맑은 고딕"/>
          <w:kern w:val="2"/>
          <w:sz w:val="22"/>
          <w:szCs w:val="22"/>
          <w:lang w:val="x-none" w:eastAsia="ko-KR"/>
        </w:rPr>
        <w:t xml:space="preserve"> </w:t>
      </w:r>
      <w:r w:rsidR="00F06FE4">
        <w:rPr>
          <w:rFonts w:eastAsia="맑은 고딕"/>
          <w:kern w:val="2"/>
          <w:sz w:val="22"/>
          <w:szCs w:val="22"/>
          <w:lang w:val="x-none" w:eastAsia="ko-KR"/>
        </w:rPr>
        <w:t>puncturing</w:t>
      </w:r>
      <w:r w:rsidR="00113C05">
        <w:rPr>
          <w:rFonts w:eastAsia="맑은 고딕"/>
          <w:kern w:val="2"/>
          <w:sz w:val="22"/>
          <w:szCs w:val="22"/>
          <w:lang w:val="x-none" w:eastAsia="ko-KR"/>
        </w:rPr>
        <w:t xml:space="preserve"> MPDCCH REs</w:t>
      </w:r>
      <w:r w:rsidR="00F06FE4">
        <w:rPr>
          <w:rFonts w:eastAsia="맑은 고딕"/>
          <w:kern w:val="2"/>
          <w:sz w:val="22"/>
          <w:szCs w:val="22"/>
          <w:lang w:val="x-none" w:eastAsia="ko-KR"/>
        </w:rPr>
        <w:t xml:space="preserve">, </w:t>
      </w:r>
      <w:r w:rsidR="00F06FE4">
        <w:rPr>
          <w:rFonts w:eastAsia="맑은 고딕"/>
          <w:kern w:val="2"/>
          <w:sz w:val="22"/>
          <w:szCs w:val="22"/>
          <w:lang w:val="x-none" w:eastAsia="ko-KR"/>
        </w:rPr>
        <w:t xml:space="preserve">as </w:t>
      </w:r>
      <w:r w:rsidR="00F06FE4" w:rsidRPr="00F66FAC">
        <w:rPr>
          <w:rFonts w:eastAsia="맑은 고딕"/>
          <w:kern w:val="2"/>
          <w:sz w:val="22"/>
          <w:szCs w:val="22"/>
          <w:lang w:val="x-none" w:eastAsia="ko-KR"/>
        </w:rPr>
        <w:t>LTE MTC UEs are not aware of the presence of CSI-RS puncturing MPDCCH</w:t>
      </w:r>
      <w:r w:rsidR="00F06FE4">
        <w:rPr>
          <w:rFonts w:eastAsia="맑은 고딕"/>
          <w:kern w:val="2"/>
          <w:sz w:val="22"/>
          <w:szCs w:val="22"/>
          <w:lang w:val="x-none" w:eastAsia="ko-KR"/>
        </w:rPr>
        <w:t xml:space="preserve"> and therefore </w:t>
      </w:r>
      <w:r w:rsidR="00F66FAC" w:rsidRPr="00F66FAC">
        <w:rPr>
          <w:rFonts w:eastAsia="맑은 고딕"/>
          <w:kern w:val="2"/>
          <w:sz w:val="22"/>
          <w:szCs w:val="22"/>
          <w:lang w:val="x-none" w:eastAsia="ko-KR"/>
        </w:rPr>
        <w:t xml:space="preserve">cannot </w:t>
      </w:r>
      <w:r w:rsidR="00F06FE4">
        <w:rPr>
          <w:rFonts w:eastAsia="맑은 고딕"/>
          <w:kern w:val="2"/>
          <w:sz w:val="22"/>
          <w:szCs w:val="22"/>
          <w:lang w:val="x-none" w:eastAsia="ko-KR"/>
        </w:rPr>
        <w:t xml:space="preserve">use it for </w:t>
      </w:r>
      <w:r w:rsidR="00F66FAC" w:rsidRPr="00F66FAC">
        <w:rPr>
          <w:rFonts w:eastAsia="맑은 고딕"/>
          <w:kern w:val="2"/>
          <w:sz w:val="22"/>
          <w:szCs w:val="22"/>
          <w:lang w:val="x-none" w:eastAsia="ko-KR"/>
        </w:rPr>
        <w:t>combining gain</w:t>
      </w:r>
      <w:r w:rsidR="00F06FE4">
        <w:rPr>
          <w:rFonts w:eastAsia="맑은 고딕"/>
          <w:kern w:val="2"/>
          <w:sz w:val="22"/>
          <w:szCs w:val="22"/>
          <w:lang w:val="x-none" w:eastAsia="ko-KR"/>
        </w:rPr>
        <w:t xml:space="preserve">, it seems to be desirable to copy CSI-RS REs to LTE control region together with MPDCCH REs to at least benefit from </w:t>
      </w:r>
      <w:r w:rsidR="00F66FAC" w:rsidRPr="00F66FAC">
        <w:rPr>
          <w:rFonts w:eastAsia="맑은 고딕"/>
          <w:kern w:val="2"/>
          <w:sz w:val="22"/>
          <w:szCs w:val="22"/>
          <w:lang w:val="x-none" w:eastAsia="ko-KR"/>
        </w:rPr>
        <w:t>synchronization.</w:t>
      </w:r>
    </w:p>
    <w:p w14:paraId="5EBAAFB6" w14:textId="7EFFFE20" w:rsidR="00775425" w:rsidRDefault="00775425" w:rsidP="009E28DA">
      <w:pPr>
        <w:spacing w:before="120"/>
        <w:ind w:left="220" w:firstLine="0"/>
        <w:rPr>
          <w:b/>
          <w:i/>
          <w:sz w:val="22"/>
        </w:rPr>
      </w:pPr>
      <w:r>
        <w:rPr>
          <w:b/>
          <w:i/>
          <w:sz w:val="22"/>
        </w:rPr>
        <w:t xml:space="preserve">Proposal </w:t>
      </w:r>
      <w:r w:rsidR="009E28DA">
        <w:rPr>
          <w:b/>
          <w:i/>
          <w:sz w:val="22"/>
        </w:rPr>
        <w:t>2</w:t>
      </w:r>
      <w:r>
        <w:rPr>
          <w:b/>
          <w:i/>
          <w:sz w:val="22"/>
        </w:rPr>
        <w:t>: T</w:t>
      </w:r>
      <w:r w:rsidRPr="00DB2327">
        <w:rPr>
          <w:b/>
          <w:i/>
          <w:sz w:val="22"/>
        </w:rPr>
        <w:t>he re</w:t>
      </w:r>
      <w:r>
        <w:rPr>
          <w:b/>
          <w:i/>
          <w:sz w:val="22"/>
        </w:rPr>
        <w:t xml:space="preserve">source elements used for MPDCCH and mapped in LTE control region include </w:t>
      </w:r>
    </w:p>
    <w:p w14:paraId="3AF3CE88" w14:textId="77777777" w:rsidR="00775425" w:rsidRDefault="00775425" w:rsidP="00775425">
      <w:pPr>
        <w:numPr>
          <w:ilvl w:val="0"/>
          <w:numId w:val="22"/>
        </w:numPr>
        <w:spacing w:after="0" w:line="259" w:lineRule="auto"/>
        <w:rPr>
          <w:rFonts w:eastAsia="맑은 고딕"/>
          <w:b/>
          <w:i/>
          <w:sz w:val="22"/>
          <w:szCs w:val="22"/>
        </w:rPr>
      </w:pPr>
      <w:r w:rsidRPr="00A95661">
        <w:rPr>
          <w:rFonts w:eastAsia="맑은 고딕"/>
          <w:b/>
          <w:i/>
          <w:sz w:val="22"/>
          <w:szCs w:val="22"/>
          <w:lang w:val="en-US"/>
        </w:rPr>
        <w:t xml:space="preserve">Resource elements </w:t>
      </w:r>
      <w:r>
        <w:rPr>
          <w:rFonts w:eastAsia="맑은 고딕"/>
          <w:b/>
          <w:i/>
          <w:sz w:val="22"/>
          <w:szCs w:val="22"/>
        </w:rPr>
        <w:t>containing</w:t>
      </w:r>
      <w:r w:rsidRPr="00A95661">
        <w:rPr>
          <w:rFonts w:eastAsia="맑은 고딕"/>
          <w:b/>
          <w:i/>
          <w:sz w:val="22"/>
          <w:szCs w:val="22"/>
          <w:lang w:val="en-US"/>
        </w:rPr>
        <w:t xml:space="preserve"> MPDCCH DMRS</w:t>
      </w:r>
      <w:r>
        <w:rPr>
          <w:rFonts w:eastAsia="맑은 고딕"/>
          <w:b/>
          <w:i/>
          <w:sz w:val="22"/>
          <w:szCs w:val="22"/>
        </w:rPr>
        <w:t xml:space="preserve"> </w:t>
      </w:r>
    </w:p>
    <w:p w14:paraId="36470316" w14:textId="77777777" w:rsidR="00775425" w:rsidRDefault="00775425" w:rsidP="009E28DA">
      <w:pPr>
        <w:numPr>
          <w:ilvl w:val="0"/>
          <w:numId w:val="22"/>
        </w:numPr>
        <w:spacing w:before="0" w:after="0" w:line="259" w:lineRule="auto"/>
        <w:rPr>
          <w:rFonts w:eastAsia="맑은 고딕"/>
          <w:b/>
          <w:i/>
          <w:sz w:val="22"/>
          <w:szCs w:val="22"/>
        </w:rPr>
      </w:pPr>
      <w:r>
        <w:rPr>
          <w:rFonts w:eastAsia="맑은 고딕"/>
          <w:b/>
          <w:i/>
          <w:sz w:val="22"/>
          <w:szCs w:val="22"/>
        </w:rPr>
        <w:t>CSI-RS REs puncturing MPDCCH transmission REs</w:t>
      </w:r>
    </w:p>
    <w:p w14:paraId="22241EB4" w14:textId="77777777" w:rsidR="00775425" w:rsidRPr="0022731B" w:rsidRDefault="00775425" w:rsidP="0022731B">
      <w:pPr>
        <w:spacing w:before="0" w:line="259" w:lineRule="auto"/>
        <w:ind w:left="0" w:firstLine="0"/>
        <w:rPr>
          <w:rFonts w:eastAsia="굴림" w:cs="Calibri" w:hint="eastAsia"/>
          <w:b/>
          <w:i/>
          <w:kern w:val="2"/>
          <w:sz w:val="22"/>
          <w:lang w:eastAsia="ko-KR"/>
        </w:rPr>
      </w:pPr>
    </w:p>
    <w:p w14:paraId="264FA965" w14:textId="7BFF7A88" w:rsidR="00E10C74" w:rsidRDefault="00086DD2"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RE mapping for PDSCH</w:t>
      </w:r>
    </w:p>
    <w:p w14:paraId="77A124AB" w14:textId="1CD558C0" w:rsidR="00E745D0" w:rsidRDefault="00193149"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PDSCH mapped in LTE control region is for Rel.16 UEs capable of using LTE control region for DL transmission</w:t>
      </w:r>
      <w:r w:rsidR="009E3FF7">
        <w:rPr>
          <w:rFonts w:eastAsia="맑은 고딕"/>
          <w:kern w:val="2"/>
          <w:sz w:val="22"/>
          <w:szCs w:val="22"/>
          <w:lang w:val="en-US" w:eastAsia="ko-KR"/>
        </w:rPr>
        <w:t xml:space="preserve">, additional REs in LTE control region </w:t>
      </w:r>
      <w:r w:rsidR="00516B09">
        <w:rPr>
          <w:rFonts w:eastAsia="맑은 고딕"/>
          <w:kern w:val="2"/>
          <w:sz w:val="22"/>
          <w:szCs w:val="22"/>
          <w:lang w:val="en-US" w:eastAsia="ko-KR"/>
        </w:rPr>
        <w:t>are</w:t>
      </w:r>
      <w:r w:rsidR="009E3FF7">
        <w:rPr>
          <w:rFonts w:eastAsia="맑은 고딕"/>
          <w:kern w:val="2"/>
          <w:sz w:val="22"/>
          <w:szCs w:val="22"/>
          <w:lang w:val="en-US" w:eastAsia="ko-KR"/>
        </w:rPr>
        <w:t xml:space="preserve"> available for MPDCCH transmission. </w:t>
      </w:r>
      <w:r w:rsidR="00516B09">
        <w:rPr>
          <w:rFonts w:eastAsia="맑은 고딕"/>
          <w:kern w:val="2"/>
          <w:sz w:val="22"/>
          <w:szCs w:val="22"/>
          <w:lang w:val="en-US" w:eastAsia="ko-KR"/>
        </w:rPr>
        <w:t>In this case, a</w:t>
      </w:r>
      <w:r w:rsidR="005C09CD">
        <w:rPr>
          <w:rFonts w:eastAsia="맑은 고딕"/>
          <w:kern w:val="2"/>
          <w:sz w:val="22"/>
          <w:szCs w:val="22"/>
          <w:lang w:val="en-US" w:eastAsia="ko-KR"/>
        </w:rPr>
        <w:t>dditional payload bits (</w:t>
      </w:r>
      <w:r w:rsidR="00FE0AD2">
        <w:rPr>
          <w:rFonts w:eastAsia="맑은 고딕"/>
          <w:kern w:val="2"/>
          <w:sz w:val="22"/>
          <w:szCs w:val="22"/>
          <w:lang w:val="en-US" w:eastAsia="ko-KR"/>
        </w:rPr>
        <w:t xml:space="preserve">a </w:t>
      </w:r>
      <w:r w:rsidR="005C09CD">
        <w:rPr>
          <w:rFonts w:eastAsia="맑은 고딕"/>
          <w:kern w:val="2"/>
          <w:sz w:val="22"/>
          <w:szCs w:val="22"/>
          <w:lang w:val="en-US" w:eastAsia="ko-KR"/>
        </w:rPr>
        <w:t xml:space="preserve">larger TBS) </w:t>
      </w:r>
      <w:r w:rsidR="00FE0AD2">
        <w:rPr>
          <w:rFonts w:eastAsia="맑은 고딕"/>
          <w:kern w:val="2"/>
          <w:sz w:val="22"/>
          <w:szCs w:val="22"/>
          <w:lang w:val="en-US" w:eastAsia="ko-KR"/>
        </w:rPr>
        <w:t xml:space="preserve">can be transmitted </w:t>
      </w:r>
      <w:r w:rsidR="005C09CD">
        <w:rPr>
          <w:rFonts w:eastAsia="맑은 고딕"/>
          <w:kern w:val="2"/>
          <w:sz w:val="22"/>
          <w:szCs w:val="22"/>
          <w:lang w:val="en-US" w:eastAsia="ko-KR"/>
        </w:rPr>
        <w:t xml:space="preserve">given the same code rate. </w:t>
      </w:r>
      <w:r w:rsidR="00516B09">
        <w:rPr>
          <w:rFonts w:eastAsia="맑은 고딕"/>
          <w:kern w:val="2"/>
          <w:sz w:val="22"/>
          <w:szCs w:val="22"/>
          <w:lang w:val="en-US" w:eastAsia="ko-KR"/>
        </w:rPr>
        <w:t>For</w:t>
      </w:r>
      <w:r w:rsidR="00FE0AD2">
        <w:rPr>
          <w:rFonts w:eastAsia="맑은 고딕"/>
          <w:kern w:val="2"/>
          <w:sz w:val="22"/>
          <w:szCs w:val="22"/>
          <w:lang w:val="en-US" w:eastAsia="ko-KR"/>
        </w:rPr>
        <w:t xml:space="preserve"> normal subframes, t</w:t>
      </w:r>
      <w:r w:rsidR="005C09CD">
        <w:rPr>
          <w:rFonts w:eastAsia="맑은 고딕"/>
          <w:kern w:val="2"/>
          <w:sz w:val="22"/>
          <w:szCs w:val="22"/>
          <w:lang w:val="en-US" w:eastAsia="ko-KR"/>
        </w:rPr>
        <w:t xml:space="preserve">he </w:t>
      </w:r>
      <w:r w:rsidR="00BE4116">
        <w:rPr>
          <w:rFonts w:eastAsia="맑은 고딕"/>
          <w:kern w:val="2"/>
          <w:sz w:val="22"/>
          <w:szCs w:val="22"/>
          <w:lang w:val="en-US" w:eastAsia="ko-KR"/>
        </w:rPr>
        <w:t>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may not be</w:t>
      </w:r>
      <w:r w:rsidR="005C09CD">
        <w:rPr>
          <w:rFonts w:eastAsia="맑은 고딕"/>
          <w:kern w:val="2"/>
          <w:sz w:val="22"/>
          <w:szCs w:val="22"/>
          <w:lang w:val="en-US" w:eastAsia="ko-KR"/>
        </w:rPr>
        <w:t xml:space="preserve"> big </w:t>
      </w:r>
      <w:r w:rsidR="00FE0AD2">
        <w:rPr>
          <w:rFonts w:eastAsia="맑은 고딕"/>
          <w:kern w:val="2"/>
          <w:sz w:val="22"/>
          <w:szCs w:val="22"/>
          <w:lang w:val="en-US" w:eastAsia="ko-KR"/>
        </w:rPr>
        <w:t>enough</w:t>
      </w:r>
      <w:r w:rsidR="005C09CD">
        <w:rPr>
          <w:rFonts w:eastAsia="맑은 고딕"/>
          <w:kern w:val="2"/>
          <w:sz w:val="22"/>
          <w:szCs w:val="22"/>
          <w:lang w:val="en-US" w:eastAsia="ko-KR"/>
        </w:rPr>
        <w:t>, but in the case of special subframe</w:t>
      </w:r>
      <w:r w:rsidR="00BE4116">
        <w:rPr>
          <w:rFonts w:eastAsia="맑은 고딕"/>
          <w:kern w:val="2"/>
          <w:sz w:val="22"/>
          <w:szCs w:val="22"/>
          <w:lang w:val="en-US" w:eastAsia="ko-KR"/>
        </w:rPr>
        <w:t>s</w:t>
      </w:r>
      <w:r w:rsidR="005C09CD">
        <w:rPr>
          <w:rFonts w:eastAsia="맑은 고딕"/>
          <w:kern w:val="2"/>
          <w:sz w:val="22"/>
          <w:szCs w:val="22"/>
          <w:lang w:val="en-US" w:eastAsia="ko-KR"/>
        </w:rPr>
        <w:t xml:space="preserve"> </w:t>
      </w:r>
      <w:r w:rsidR="00BE4116">
        <w:rPr>
          <w:rFonts w:eastAsia="맑은 고딕"/>
          <w:kern w:val="2"/>
          <w:sz w:val="22"/>
          <w:szCs w:val="22"/>
          <w:lang w:val="en-US" w:eastAsia="ko-KR"/>
        </w:rPr>
        <w:t xml:space="preserve">especially </w:t>
      </w:r>
      <w:r w:rsidR="005C09CD">
        <w:rPr>
          <w:rFonts w:eastAsia="맑은 고딕"/>
          <w:kern w:val="2"/>
          <w:sz w:val="22"/>
          <w:szCs w:val="22"/>
          <w:lang w:val="en-US" w:eastAsia="ko-KR"/>
        </w:rPr>
        <w:t>with small number of DwPTS symbols</w:t>
      </w:r>
      <w:r w:rsidR="00BE4116">
        <w:rPr>
          <w:rFonts w:eastAsia="맑은 고딕"/>
          <w:kern w:val="2"/>
          <w:sz w:val="22"/>
          <w:szCs w:val="22"/>
          <w:lang w:val="en-US" w:eastAsia="ko-KR"/>
        </w:rPr>
        <w:t>,</w:t>
      </w:r>
      <w:r w:rsidR="005C09CD">
        <w:rPr>
          <w:rFonts w:eastAsia="맑은 고딕"/>
          <w:kern w:val="2"/>
          <w:sz w:val="22"/>
          <w:szCs w:val="22"/>
          <w:lang w:val="en-US" w:eastAsia="ko-KR"/>
        </w:rPr>
        <w:t xml:space="preserve"> the 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516B09">
        <w:rPr>
          <w:rFonts w:eastAsia="맑은 고딕"/>
          <w:kern w:val="2"/>
          <w:sz w:val="22"/>
          <w:szCs w:val="22"/>
          <w:lang w:val="en-US" w:eastAsia="ko-KR"/>
        </w:rPr>
        <w:t xml:space="preserve">may not be </w:t>
      </w:r>
      <w:r w:rsidR="005C09CD">
        <w:rPr>
          <w:rFonts w:eastAsia="맑은 고딕"/>
          <w:kern w:val="2"/>
          <w:sz w:val="22"/>
          <w:szCs w:val="22"/>
          <w:lang w:val="en-US" w:eastAsia="ko-KR"/>
        </w:rPr>
        <w:t>small</w:t>
      </w:r>
      <w:r>
        <w:rPr>
          <w:rFonts w:eastAsia="맑은 고딕"/>
          <w:kern w:val="2"/>
          <w:sz w:val="22"/>
          <w:szCs w:val="22"/>
          <w:lang w:val="en-US" w:eastAsia="ko-KR"/>
        </w:rPr>
        <w:t xml:space="preserve"> </w:t>
      </w:r>
      <w:r w:rsidR="00FE0AD2">
        <w:rPr>
          <w:rFonts w:eastAsia="맑은 고딕"/>
          <w:kern w:val="2"/>
          <w:sz w:val="22"/>
          <w:szCs w:val="22"/>
          <w:lang w:val="en-US" w:eastAsia="ko-KR"/>
        </w:rPr>
        <w:t xml:space="preserve">anymore and therefore the TBS scaling can be </w:t>
      </w:r>
      <w:r w:rsidR="00BE4116">
        <w:rPr>
          <w:rFonts w:eastAsia="맑은 고딕"/>
          <w:kern w:val="2"/>
          <w:sz w:val="22"/>
          <w:szCs w:val="22"/>
          <w:lang w:val="en-US" w:eastAsia="ko-KR"/>
        </w:rPr>
        <w:t xml:space="preserve">more </w:t>
      </w:r>
      <w:r w:rsidR="00FE0AD2">
        <w:rPr>
          <w:rFonts w:eastAsia="맑은 고딕"/>
          <w:kern w:val="2"/>
          <w:sz w:val="22"/>
          <w:szCs w:val="22"/>
          <w:lang w:val="en-US" w:eastAsia="ko-KR"/>
        </w:rPr>
        <w:t xml:space="preserve">beneficial in this case. </w:t>
      </w:r>
      <w:r w:rsidR="00BE4116">
        <w:rPr>
          <w:rFonts w:eastAsia="맑은 고딕"/>
          <w:kern w:val="2"/>
          <w:sz w:val="22"/>
          <w:szCs w:val="22"/>
          <w:lang w:val="en-US" w:eastAsia="ko-KR"/>
        </w:rPr>
        <w:t>The TBS scaling can be done in such a way to transmit a larger TBS in proportion to the increase</w:t>
      </w:r>
      <w:r w:rsidR="00516B09">
        <w:rPr>
          <w:rFonts w:eastAsia="맑은 고딕"/>
          <w:kern w:val="2"/>
          <w:sz w:val="22"/>
          <w:szCs w:val="22"/>
          <w:lang w:val="en-US" w:eastAsia="ko-KR"/>
        </w:rPr>
        <w:t>d</w:t>
      </w:r>
      <w:r w:rsidR="00BE4116">
        <w:rPr>
          <w:rFonts w:eastAsia="맑은 고딕"/>
          <w:kern w:val="2"/>
          <w:sz w:val="22"/>
          <w:szCs w:val="22"/>
          <w:lang w:val="en-US" w:eastAsia="ko-KR"/>
        </w:rPr>
        <w:t xml:space="preserve"> number of symbols. </w:t>
      </w:r>
    </w:p>
    <w:p w14:paraId="0AC8700D" w14:textId="4C04C6DE" w:rsidR="00086DD2" w:rsidRPr="00086DD2" w:rsidRDefault="00086DD2" w:rsidP="00086DD2">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9E28DA">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467F5B25"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1ED86BAB" w14:textId="77777777" w:rsidR="00086DD2" w:rsidRPr="00086DD2" w:rsidRDefault="00086DD2" w:rsidP="00086DD2">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6E4E02D2" w14:textId="77777777" w:rsidR="009E28DA" w:rsidRDefault="009E28DA" w:rsidP="00595BF7">
      <w:pPr>
        <w:spacing w:before="120" w:after="240" w:line="240" w:lineRule="auto"/>
        <w:ind w:left="0" w:firstLine="0"/>
        <w:rPr>
          <w:rFonts w:eastAsia="맑은 고딕"/>
          <w:kern w:val="2"/>
          <w:sz w:val="22"/>
          <w:szCs w:val="22"/>
          <w:lang w:val="en-US" w:eastAsia="ko-KR"/>
        </w:rPr>
      </w:pPr>
    </w:p>
    <w:p w14:paraId="094399A8" w14:textId="04F6D765" w:rsidR="00825D16" w:rsidRDefault="00D57429"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PDSCH mapped in LTE control region is for Rel.16 LTE MTC UEs capable of using LTE control region for DL transmission, the LTE control region can be used to transmit additional parity bits</w:t>
      </w:r>
      <w:r w:rsidR="005A0225">
        <w:rPr>
          <w:rFonts w:eastAsia="맑은 고딕"/>
          <w:kern w:val="2"/>
          <w:sz w:val="22"/>
          <w:szCs w:val="22"/>
          <w:lang w:val="en-US" w:eastAsia="ko-KR"/>
        </w:rPr>
        <w:t xml:space="preserve"> effectively lowering </w:t>
      </w:r>
      <w:r w:rsidR="005A0225">
        <w:rPr>
          <w:rFonts w:eastAsia="맑은 고딕"/>
          <w:kern w:val="2"/>
          <w:sz w:val="22"/>
          <w:szCs w:val="22"/>
          <w:lang w:val="en-US" w:eastAsia="ko-KR"/>
        </w:rPr>
        <w:lastRenderedPageBreak/>
        <w:t>the code rate. As the code rate becomes lower, it can be considered to reduce the number of repetitions in inverse proportion to the increased number of OFDM symbols for PDSCH transmission</w:t>
      </w:r>
      <w:r w:rsidR="006B7A89">
        <w:rPr>
          <w:rFonts w:eastAsia="맑은 고딕"/>
          <w:kern w:val="2"/>
          <w:sz w:val="22"/>
          <w:szCs w:val="22"/>
          <w:lang w:val="en-US" w:eastAsia="ko-KR"/>
        </w:rPr>
        <w:t xml:space="preserve"> due to the use of LTE control region</w:t>
      </w:r>
      <w:r w:rsidR="005A0225">
        <w:rPr>
          <w:rFonts w:eastAsia="맑은 고딕"/>
          <w:kern w:val="2"/>
          <w:sz w:val="22"/>
          <w:szCs w:val="22"/>
          <w:lang w:val="en-US" w:eastAsia="ko-KR"/>
        </w:rPr>
        <w:t>. The same applies to the case where part of MPDCCH is mapped in LTE control region as it also effectively lowers the code rate by repetition.</w:t>
      </w:r>
    </w:p>
    <w:p w14:paraId="026B9D97" w14:textId="64020FF6" w:rsidR="00086DD2" w:rsidRPr="00086DD2" w:rsidRDefault="00086DD2" w:rsidP="00086DD2">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A807C5">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75894BE8" w14:textId="77777777" w:rsidR="00086DD2" w:rsidRDefault="00086DD2" w:rsidP="00086DD2">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41CF19C4" w14:textId="77777777" w:rsidR="009E28DA" w:rsidRPr="009E28DA" w:rsidRDefault="009E28DA" w:rsidP="009E28DA">
      <w:pPr>
        <w:spacing w:before="120" w:after="240" w:line="240" w:lineRule="auto"/>
        <w:ind w:left="0" w:firstLine="0"/>
        <w:rPr>
          <w:rFonts w:eastAsia="맑은 고딕" w:hint="eastAsia"/>
          <w:kern w:val="2"/>
          <w:sz w:val="22"/>
          <w:szCs w:val="22"/>
          <w:lang w:val="en-US" w:eastAsia="ko-KR"/>
        </w:rPr>
      </w:pP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19D98C8D" w14:textId="3B53BB6D"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0B59D7">
        <w:rPr>
          <w:rFonts w:eastAsia="맑은 고딕"/>
          <w:kern w:val="2"/>
          <w:sz w:val="22"/>
          <w:szCs w:val="22"/>
          <w:lang w:eastAsia="ko-KR"/>
        </w:rPr>
        <w:t>details and open issues of MPDCCH/PDSCH RE mapping</w:t>
      </w:r>
      <w:r w:rsidR="00595BF7" w:rsidRPr="00595BF7">
        <w:rPr>
          <w:rFonts w:eastAsia="맑은 고딕"/>
          <w:kern w:val="2"/>
          <w:sz w:val="22"/>
          <w:szCs w:val="22"/>
          <w:lang w:val="en-US" w:eastAsia="ko-KR"/>
        </w:rPr>
        <w:t xml:space="preserve">.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426D67FD" w14:textId="77777777" w:rsidR="00114396" w:rsidRDefault="00114396" w:rsidP="00595BF7">
      <w:pPr>
        <w:spacing w:before="120" w:after="120" w:line="240" w:lineRule="auto"/>
        <w:ind w:left="0" w:firstLine="0"/>
        <w:rPr>
          <w:rFonts w:eastAsia="맑은 고딕"/>
          <w:kern w:val="2"/>
          <w:sz w:val="22"/>
          <w:szCs w:val="22"/>
          <w:lang w:val="en-US" w:eastAsia="ko-KR"/>
        </w:rPr>
      </w:pPr>
    </w:p>
    <w:p w14:paraId="470EB1B4" w14:textId="77777777" w:rsidR="00114396" w:rsidRDefault="00114396" w:rsidP="00114396">
      <w:pPr>
        <w:spacing w:before="120" w:after="240"/>
        <w:ind w:left="220" w:firstLine="0"/>
        <w:rPr>
          <w:b/>
          <w:i/>
          <w:sz w:val="22"/>
        </w:rPr>
      </w:pPr>
      <w:r w:rsidRPr="00B84270">
        <w:rPr>
          <w:b/>
          <w:i/>
          <w:sz w:val="22"/>
        </w:rPr>
        <w:t xml:space="preserve">Proposal 1: </w:t>
      </w:r>
      <w:r>
        <w:rPr>
          <w:b/>
          <w:i/>
          <w:sz w:val="22"/>
        </w:rPr>
        <w:t xml:space="preserve">Confirm the following </w:t>
      </w:r>
      <w:r w:rsidRPr="00A95661">
        <w:rPr>
          <w:b/>
          <w:i/>
          <w:sz w:val="22"/>
          <w:highlight w:val="darkYellow"/>
        </w:rPr>
        <w:t>Working Assumption</w:t>
      </w:r>
    </w:p>
    <w:p w14:paraId="19C40EED" w14:textId="77777777" w:rsidR="00114396" w:rsidRDefault="00114396" w:rsidP="00114396">
      <w:pPr>
        <w:spacing w:before="120" w:after="240"/>
        <w:ind w:left="220" w:firstLine="0"/>
        <w:rPr>
          <w:b/>
          <w:i/>
          <w:sz w:val="22"/>
        </w:rPr>
      </w:pPr>
      <w:r w:rsidRPr="00DB2327">
        <w:rPr>
          <w:b/>
          <w:i/>
          <w:sz w:val="22"/>
        </w:rPr>
        <w:t>For MPDCCH mapping, a fixed mapping in time is used. The resource elements used for MPDCCH in the first l</w:t>
      </w:r>
      <w:r w:rsidRPr="00A95661">
        <w:rPr>
          <w:b/>
          <w:i/>
          <w:sz w:val="22"/>
          <w:vertAlign w:val="subscript"/>
        </w:rPr>
        <w:t>MPDCCHStart</w:t>
      </w:r>
      <w:r w:rsidRPr="00DB2327">
        <w:rPr>
          <w:b/>
          <w:i/>
          <w:sz w:val="22"/>
        </w:rPr>
        <w:t xml:space="preserve"> symbols in the second slot are copied into the first l</w:t>
      </w:r>
      <w:r w:rsidRPr="00A95661">
        <w:rPr>
          <w:b/>
          <w:i/>
          <w:sz w:val="22"/>
          <w:vertAlign w:val="subscript"/>
        </w:rPr>
        <w:t>MPDCCHStart</w:t>
      </w:r>
      <w:r w:rsidRPr="00DB2327">
        <w:rPr>
          <w:b/>
          <w:i/>
          <w:sz w:val="22"/>
        </w:rPr>
        <w:t xml:space="preserve"> symbols in the first slot.</w:t>
      </w:r>
    </w:p>
    <w:p w14:paraId="6AF495E9" w14:textId="77777777" w:rsidR="00114396" w:rsidRDefault="00114396" w:rsidP="00114396">
      <w:pPr>
        <w:spacing w:before="120"/>
        <w:ind w:left="220" w:firstLine="0"/>
        <w:rPr>
          <w:b/>
          <w:i/>
          <w:sz w:val="22"/>
        </w:rPr>
      </w:pPr>
      <w:r>
        <w:rPr>
          <w:b/>
          <w:i/>
          <w:sz w:val="22"/>
        </w:rPr>
        <w:t>Proposal 2: T</w:t>
      </w:r>
      <w:r w:rsidRPr="00DB2327">
        <w:rPr>
          <w:b/>
          <w:i/>
          <w:sz w:val="22"/>
        </w:rPr>
        <w:t>he re</w:t>
      </w:r>
      <w:r>
        <w:rPr>
          <w:b/>
          <w:i/>
          <w:sz w:val="22"/>
        </w:rPr>
        <w:t xml:space="preserve">source elements used for MPDCCH and mapped in LTE control region include </w:t>
      </w:r>
    </w:p>
    <w:p w14:paraId="442805A1" w14:textId="77777777" w:rsidR="00114396" w:rsidRDefault="00114396" w:rsidP="00114396">
      <w:pPr>
        <w:numPr>
          <w:ilvl w:val="0"/>
          <w:numId w:val="22"/>
        </w:numPr>
        <w:spacing w:after="0" w:line="259" w:lineRule="auto"/>
        <w:rPr>
          <w:rFonts w:eastAsia="맑은 고딕"/>
          <w:b/>
          <w:i/>
          <w:sz w:val="22"/>
          <w:szCs w:val="22"/>
        </w:rPr>
      </w:pPr>
      <w:r w:rsidRPr="00A95661">
        <w:rPr>
          <w:rFonts w:eastAsia="맑은 고딕"/>
          <w:b/>
          <w:i/>
          <w:sz w:val="22"/>
          <w:szCs w:val="22"/>
          <w:lang w:val="en-US"/>
        </w:rPr>
        <w:t xml:space="preserve">Resource elements </w:t>
      </w:r>
      <w:r>
        <w:rPr>
          <w:rFonts w:eastAsia="맑은 고딕"/>
          <w:b/>
          <w:i/>
          <w:sz w:val="22"/>
          <w:szCs w:val="22"/>
        </w:rPr>
        <w:t>containing</w:t>
      </w:r>
      <w:r w:rsidRPr="00A95661">
        <w:rPr>
          <w:rFonts w:eastAsia="맑은 고딕"/>
          <w:b/>
          <w:i/>
          <w:sz w:val="22"/>
          <w:szCs w:val="22"/>
          <w:lang w:val="en-US"/>
        </w:rPr>
        <w:t xml:space="preserve"> MPDCCH DMRS</w:t>
      </w:r>
      <w:r>
        <w:rPr>
          <w:rFonts w:eastAsia="맑은 고딕"/>
          <w:b/>
          <w:i/>
          <w:sz w:val="22"/>
          <w:szCs w:val="22"/>
        </w:rPr>
        <w:t xml:space="preserve"> </w:t>
      </w:r>
    </w:p>
    <w:p w14:paraId="4E6CC03D" w14:textId="77777777" w:rsidR="00114396" w:rsidRDefault="00114396" w:rsidP="00114396">
      <w:pPr>
        <w:numPr>
          <w:ilvl w:val="0"/>
          <w:numId w:val="22"/>
        </w:numPr>
        <w:spacing w:before="0" w:after="0" w:line="259" w:lineRule="auto"/>
        <w:rPr>
          <w:rFonts w:eastAsia="맑은 고딕"/>
          <w:b/>
          <w:i/>
          <w:sz w:val="22"/>
          <w:szCs w:val="22"/>
        </w:rPr>
      </w:pPr>
      <w:r>
        <w:rPr>
          <w:rFonts w:eastAsia="맑은 고딕"/>
          <w:b/>
          <w:i/>
          <w:sz w:val="22"/>
          <w:szCs w:val="22"/>
        </w:rPr>
        <w:t>CSI-RS REs puncturing MPDCCH transmission REs</w:t>
      </w:r>
    </w:p>
    <w:p w14:paraId="0C7897AB" w14:textId="77777777" w:rsidR="00114396" w:rsidRPr="00086DD2" w:rsidRDefault="00114396" w:rsidP="00114396">
      <w:pPr>
        <w:spacing w:before="120" w:after="24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095F33B2" w14:textId="77777777" w:rsidR="00114396" w:rsidRPr="00086DD2" w:rsidRDefault="00114396" w:rsidP="00114396">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details of TBS scaling</w:t>
      </w:r>
    </w:p>
    <w:p w14:paraId="244EEC76" w14:textId="77777777" w:rsidR="00114396" w:rsidRPr="00086DD2" w:rsidRDefault="00114396" w:rsidP="00114396">
      <w:pPr>
        <w:numPr>
          <w:ilvl w:val="0"/>
          <w:numId w:val="22"/>
        </w:numPr>
        <w:spacing w:before="0" w:after="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4D221DB4" w14:textId="77777777" w:rsidR="00114396" w:rsidRPr="00086DD2" w:rsidRDefault="00114396" w:rsidP="00114396">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30DA514B" w14:textId="77777777" w:rsidR="00114396" w:rsidRDefault="00114396" w:rsidP="00114396">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 xml:space="preserve">FFS details of how to scale the repetition number </w:t>
      </w:r>
    </w:p>
    <w:p w14:paraId="0D2524FE"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508E59C"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215D7A80" w14:textId="0580AEDE" w:rsidR="00A61FFB" w:rsidRPr="00AC6CE3" w:rsidRDefault="00A61FFB" w:rsidP="00A61FFB">
      <w:pPr>
        <w:pStyle w:val="References"/>
        <w:tabs>
          <w:tab w:val="clear" w:pos="6031"/>
        </w:tabs>
        <w:ind w:left="851" w:hanging="425"/>
        <w:rPr>
          <w:rFonts w:eastAsia="맑은 고딕"/>
          <w:lang w:eastAsia="ko-KR"/>
        </w:rPr>
      </w:pPr>
      <w:r>
        <w:rPr>
          <w:lang w:eastAsia="ko-KR"/>
        </w:rPr>
        <w:lastRenderedPageBreak/>
        <w:t xml:space="preserve">Chairman’s Notes RAN1 </w:t>
      </w:r>
      <w:r w:rsidR="00F213E1">
        <w:rPr>
          <w:lang w:eastAsia="ko-KR"/>
        </w:rPr>
        <w:t>#96</w:t>
      </w:r>
      <w:r w:rsidR="00C044D1">
        <w:rPr>
          <w:lang w:eastAsia="ko-KR"/>
        </w:rPr>
        <w:t>bis</w:t>
      </w:r>
    </w:p>
    <w:p w14:paraId="1A313866" w14:textId="77777777" w:rsidR="005C0E1B" w:rsidRPr="00963F0A" w:rsidRDefault="005C0E1B" w:rsidP="002706C6">
      <w:pPr>
        <w:spacing w:before="120" w:after="120" w:line="240" w:lineRule="auto"/>
        <w:ind w:left="0" w:firstLineChars="100" w:firstLine="200"/>
        <w:rPr>
          <w:rFonts w:eastAsia="맑은 고딕"/>
          <w:lang w:val="en-US" w:eastAsia="ko-KR"/>
        </w:rPr>
      </w:pP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2A43D" w14:textId="77777777" w:rsidR="007653CF" w:rsidRDefault="007653CF" w:rsidP="00CB15B0">
      <w:pPr>
        <w:spacing w:before="0" w:after="0" w:line="240" w:lineRule="auto"/>
      </w:pPr>
      <w:r>
        <w:separator/>
      </w:r>
    </w:p>
  </w:endnote>
  <w:endnote w:type="continuationSeparator" w:id="0">
    <w:p w14:paraId="5C3B5E42" w14:textId="77777777" w:rsidR="007653CF" w:rsidRDefault="007653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09B14" w14:textId="77777777" w:rsidR="007653CF" w:rsidRDefault="007653CF" w:rsidP="00CB15B0">
      <w:pPr>
        <w:spacing w:before="0" w:after="0" w:line="240" w:lineRule="auto"/>
      </w:pPr>
      <w:r>
        <w:separator/>
      </w:r>
    </w:p>
  </w:footnote>
  <w:footnote w:type="continuationSeparator" w:id="0">
    <w:p w14:paraId="64D4604E" w14:textId="77777777" w:rsidR="007653CF" w:rsidRDefault="007653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4">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70F4A60"/>
    <w:multiLevelType w:val="hybridMultilevel"/>
    <w:tmpl w:val="2E1C6C98"/>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4">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19"/>
  </w:num>
  <w:num w:numId="4">
    <w:abstractNumId w:val="13"/>
  </w:num>
  <w:num w:numId="5">
    <w:abstractNumId w:val="34"/>
  </w:num>
  <w:num w:numId="6">
    <w:abstractNumId w:val="12"/>
  </w:num>
  <w:num w:numId="7">
    <w:abstractNumId w:val="17"/>
  </w:num>
  <w:num w:numId="8">
    <w:abstractNumId w:val="30"/>
  </w:num>
  <w:num w:numId="9">
    <w:abstractNumId w:val="14"/>
  </w:num>
  <w:num w:numId="10">
    <w:abstractNumId w:val="20"/>
  </w:num>
  <w:num w:numId="11">
    <w:abstractNumId w:val="26"/>
  </w:num>
  <w:num w:numId="12">
    <w:abstractNumId w:val="4"/>
  </w:num>
  <w:num w:numId="13">
    <w:abstractNumId w:val="3"/>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1"/>
  </w:num>
  <w:num w:numId="18">
    <w:abstractNumId w:val="11"/>
  </w:num>
  <w:num w:numId="19">
    <w:abstractNumId w:val="9"/>
  </w:num>
  <w:num w:numId="20">
    <w:abstractNumId w:val="2"/>
  </w:num>
  <w:num w:numId="21">
    <w:abstractNumId w:val="32"/>
  </w:num>
  <w:num w:numId="22">
    <w:abstractNumId w:val="31"/>
  </w:num>
  <w:num w:numId="23">
    <w:abstractNumId w:val="18"/>
  </w:num>
  <w:num w:numId="24">
    <w:abstractNumId w:val="5"/>
  </w:num>
  <w:num w:numId="25">
    <w:abstractNumId w:val="22"/>
  </w:num>
  <w:num w:numId="26">
    <w:abstractNumId w:val="19"/>
  </w:num>
  <w:num w:numId="27">
    <w:abstractNumId w:val="19"/>
  </w:num>
  <w:num w:numId="28">
    <w:abstractNumId w:val="35"/>
  </w:num>
  <w:num w:numId="29">
    <w:abstractNumId w:val="27"/>
  </w:num>
  <w:num w:numId="30">
    <w:abstractNumId w:val="1"/>
  </w:num>
  <w:num w:numId="31">
    <w:abstractNumId w:val="33"/>
  </w:num>
  <w:num w:numId="32">
    <w:abstractNumId w:val="8"/>
  </w:num>
  <w:num w:numId="33">
    <w:abstractNumId w:val="7"/>
  </w:num>
  <w:num w:numId="34">
    <w:abstractNumId w:val="10"/>
  </w:num>
  <w:num w:numId="35">
    <w:abstractNumId w:val="24"/>
  </w:num>
  <w:num w:numId="36">
    <w:abstractNumId w:val="29"/>
  </w:num>
  <w:num w:numId="37">
    <w:abstractNumId w:val="25"/>
  </w:num>
  <w:num w:numId="38">
    <w:abstractNumId w:val="16"/>
  </w:num>
  <w:num w:numId="39">
    <w:abstractNumId w:val="6"/>
  </w:num>
  <w:num w:numId="40">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95E"/>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6DD2"/>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B4F"/>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9D7"/>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6F92"/>
    <w:rsid w:val="000C7149"/>
    <w:rsid w:val="000C77C4"/>
    <w:rsid w:val="000C7AE1"/>
    <w:rsid w:val="000C7DA9"/>
    <w:rsid w:val="000D014C"/>
    <w:rsid w:val="000D085E"/>
    <w:rsid w:val="000D1989"/>
    <w:rsid w:val="000D1AE2"/>
    <w:rsid w:val="000D1DC0"/>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3C05"/>
    <w:rsid w:val="00114267"/>
    <w:rsid w:val="00114396"/>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03"/>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781"/>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9"/>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2EC"/>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4F49"/>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5E47"/>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1B"/>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333"/>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B27"/>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4D83"/>
    <w:rsid w:val="00314D9D"/>
    <w:rsid w:val="003150C6"/>
    <w:rsid w:val="00315A36"/>
    <w:rsid w:val="00315A5A"/>
    <w:rsid w:val="00315DD7"/>
    <w:rsid w:val="003163F6"/>
    <w:rsid w:val="003164B2"/>
    <w:rsid w:val="00316589"/>
    <w:rsid w:val="00316B58"/>
    <w:rsid w:val="00316E84"/>
    <w:rsid w:val="003175FB"/>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0783"/>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77"/>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653"/>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29"/>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6B09"/>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8E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22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D"/>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6FE"/>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87C7B"/>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A89"/>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3CF"/>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425"/>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1BD"/>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C8"/>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39F"/>
    <w:rsid w:val="00843966"/>
    <w:rsid w:val="0084410B"/>
    <w:rsid w:val="008442A3"/>
    <w:rsid w:val="008446DE"/>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0FDB"/>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6B9"/>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A87"/>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8DA"/>
    <w:rsid w:val="009E2E4B"/>
    <w:rsid w:val="009E2EA9"/>
    <w:rsid w:val="009E3013"/>
    <w:rsid w:val="009E338E"/>
    <w:rsid w:val="009E3C6D"/>
    <w:rsid w:val="009E3DC3"/>
    <w:rsid w:val="009E3FF7"/>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21C"/>
    <w:rsid w:val="00A04344"/>
    <w:rsid w:val="00A04561"/>
    <w:rsid w:val="00A04D86"/>
    <w:rsid w:val="00A05151"/>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7C5"/>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BE8"/>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2939"/>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249"/>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2B85"/>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5C0"/>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3D4"/>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0C8"/>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116"/>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BF7A9E"/>
    <w:rsid w:val="00C0049F"/>
    <w:rsid w:val="00C00589"/>
    <w:rsid w:val="00C00913"/>
    <w:rsid w:val="00C00E40"/>
    <w:rsid w:val="00C00FB1"/>
    <w:rsid w:val="00C02116"/>
    <w:rsid w:val="00C02B76"/>
    <w:rsid w:val="00C02E48"/>
    <w:rsid w:val="00C03BB8"/>
    <w:rsid w:val="00C03BF3"/>
    <w:rsid w:val="00C0401B"/>
    <w:rsid w:val="00C042B1"/>
    <w:rsid w:val="00C044D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86D"/>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4DBB"/>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429"/>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38AD"/>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8F3"/>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229"/>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B93"/>
    <w:rsid w:val="00E45C8D"/>
    <w:rsid w:val="00E4601E"/>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430"/>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248"/>
    <w:rsid w:val="00EB3F76"/>
    <w:rsid w:val="00EB403F"/>
    <w:rsid w:val="00EB415B"/>
    <w:rsid w:val="00EB49BE"/>
    <w:rsid w:val="00EB4AAF"/>
    <w:rsid w:val="00EB5E0B"/>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6FE4"/>
    <w:rsid w:val="00F07261"/>
    <w:rsid w:val="00F076B4"/>
    <w:rsid w:val="00F07B50"/>
    <w:rsid w:val="00F07B92"/>
    <w:rsid w:val="00F1022B"/>
    <w:rsid w:val="00F10E86"/>
    <w:rsid w:val="00F10F51"/>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3E1"/>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66FAC"/>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3B4D"/>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AD2"/>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34256840">
      <w:bodyDiv w:val="1"/>
      <w:marLeft w:val="0"/>
      <w:marRight w:val="0"/>
      <w:marTop w:val="0"/>
      <w:marBottom w:val="0"/>
      <w:divBdr>
        <w:top w:val="none" w:sz="0" w:space="0" w:color="auto"/>
        <w:left w:val="none" w:sz="0" w:space="0" w:color="auto"/>
        <w:bottom w:val="none" w:sz="0" w:space="0" w:color="auto"/>
        <w:right w:val="none" w:sz="0" w:space="0" w:color="auto"/>
      </w:divBdr>
    </w:div>
    <w:div w:id="441803742">
      <w:bodyDiv w:val="1"/>
      <w:marLeft w:val="0"/>
      <w:marRight w:val="0"/>
      <w:marTop w:val="0"/>
      <w:marBottom w:val="0"/>
      <w:divBdr>
        <w:top w:val="none" w:sz="0" w:space="0" w:color="auto"/>
        <w:left w:val="none" w:sz="0" w:space="0" w:color="auto"/>
        <w:bottom w:val="none" w:sz="0" w:space="0" w:color="auto"/>
        <w:right w:val="none" w:sz="0" w:space="0" w:color="auto"/>
      </w:divBdr>
    </w:div>
    <w:div w:id="4663566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615426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707392">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579273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1F09A-5949-44E7-9467-AEE6B1B05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920</Words>
  <Characters>5244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2</cp:revision>
  <cp:lastPrinted>2010-11-09T05:20:00Z</cp:lastPrinted>
  <dcterms:created xsi:type="dcterms:W3CDTF">2019-05-03T16:12:00Z</dcterms:created>
  <dcterms:modified xsi:type="dcterms:W3CDTF">2019-05-03T16:12:00Z</dcterms:modified>
</cp:coreProperties>
</file>